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712d1_8k.htm"/>
      <w:bookmarkStart w:id="1" w:name="kstm262371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Washington</w:t>
      </w:r>
      <w:r>
        <w:rPr>
          <w:rFonts w:ascii="Times New Roman;Times;Serif" w:hAnsi="Times New Roman;Times;Serif"/>
          <w:b/>
          <w:i w:val="false"/>
          <w:caps w:val="false"/>
          <w:smallCaps w:val="false"/>
          <w:sz w:val="28"/>
        </w:rPr>
        <w:t>,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8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w:t>
      </w:r>
      <w:bookmarkStart w:id="3" w:name="xdx_90B_edei--DocumentPeriodEndDate_c202"/>
      <w:bookmarkEnd w:id="3"/>
      <w:r>
        <w:rPr>
          <w:rFonts w:ascii="Times New Roman;Times;Serif" w:hAnsi="Times New Roman;Times;Serif"/>
          <w:b/>
          <w:i w:val="false"/>
          <w:caps w:val="false"/>
          <w:smallCaps w:val="false"/>
          <w:sz w:val="20"/>
        </w:rPr>
        <w:t xml:space="preserve">August 18,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GSI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2375"/>
        <w:gridCol w:w="60"/>
        <w:gridCol w:w="1850"/>
        <w:gridCol w:w="60"/>
        <w:gridCol w:w="2570"/>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818"/>
            <w:bookmarkEnd w:id="6"/>
            <w:r>
              <w:rPr>
                <w:rFonts w:ascii="Times New Roman;Times;Serif" w:hAnsi="Times New Roman;Times;Serif"/>
                <w:b/>
                <w:i w:val="false"/>
                <w:caps w:val="false"/>
                <w:smallCaps w:val="false"/>
                <w:sz w:val="20"/>
              </w:rPr>
              <w:t>001-33387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77-0398779</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Identification </w:t>
              <w:br/>
              <w:t>No.)</w:t>
            </w:r>
          </w:p>
        </w:tc>
      </w:tr>
    </w:tbl>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3230"/>
      </w:tblGrid>
      <w:tr>
        <w:trPr/>
        <w:tc>
          <w:tcPr>
            <w:tcW w:w="3230" w:type="dxa"/>
            <w:tcBorders/>
            <w:vAlign w:val="center"/>
          </w:tcPr>
          <w:p>
            <w:pPr>
              <w:pStyle w:val="TableContents"/>
              <w:bidi w:val="0"/>
              <w:spacing w:before="0" w:after="283"/>
              <w:jc w:val="center"/>
              <w:rPr/>
            </w:pPr>
            <w:bookmarkStart w:id="8" w:name="xdx_90D_edei--EntityAddressAddressLine1_"/>
            <w:bookmarkEnd w:id="8"/>
            <w:r>
              <w:rPr>
                <w:rFonts w:ascii="Times New Roman;Times;Serif" w:hAnsi="Times New Roman;Times;Serif"/>
                <w:b/>
                <w:sz w:val="20"/>
              </w:rPr>
              <w:t>1213 Elko Drive</w:t>
              <w:br/>
            </w:r>
            <w:bookmarkStart w:id="9" w:name="xdx_90A_edei--EntityAddressCityOrTown_c2"/>
            <w:bookmarkEnd w:id="9"/>
            <w:r>
              <w:rPr>
                <w:rFonts w:ascii="Times New Roman;Times;Serif" w:hAnsi="Times New Roman;Times;Serif"/>
                <w:b/>
                <w:sz w:val="20"/>
              </w:rPr>
              <w:t xml:space="preserve">Sunnyvale, </w:t>
            </w:r>
            <w:bookmarkStart w:id="10" w:name="xdx_90E_edei--EntityAddressStateOrProvin"/>
            <w:bookmarkEnd w:id="10"/>
            <w:r>
              <w:rPr>
                <w:rFonts w:ascii="Times New Roman;Times;Serif" w:hAnsi="Times New Roman;Times;Serif"/>
                <w:b/>
                <w:sz w:val="20"/>
              </w:rPr>
              <w:t>California</w:t>
            </w:r>
            <w:r>
              <w:rPr/>
              <w:t xml:space="preserve"> </w:t>
            </w:r>
            <w:bookmarkStart w:id="11" w:name="xdx_906_edei--EntityAddressPostalZipCode"/>
            <w:bookmarkEnd w:id="11"/>
            <w:r>
              <w:rPr>
                <w:rFonts w:ascii="Times New Roman;Times;Serif" w:hAnsi="Times New Roman;Times;Serif"/>
                <w:b/>
                <w:sz w:val="20"/>
              </w:rPr>
              <w:t>94089</w:t>
            </w:r>
          </w:p>
        </w:tc>
      </w:tr>
      <w:tr>
        <w:trPr/>
        <w:tc>
          <w:tcPr>
            <w:tcW w:w="323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818__20"/>
      <w:bookmarkEnd w:id="12"/>
      <w:r>
        <w:rPr>
          <w:rFonts w:ascii="Times New Roman;Times;Serif" w:hAnsi="Times New Roman;Times;Serif"/>
          <w:b/>
          <w:i w:val="false"/>
          <w:caps w:val="false"/>
          <w:smallCaps w:val="false"/>
          <w:sz w:val="20"/>
        </w:rPr>
        <w:t xml:space="preserve">408) </w:t>
      </w:r>
      <w:bookmarkStart w:id="13" w:name="xdx_905_edei--LocalPhoneNumber_c20260818"/>
      <w:bookmarkEnd w:id="13"/>
      <w:r>
        <w:rPr>
          <w:rFonts w:ascii="Times New Roman;Times;Serif" w:hAnsi="Times New Roman;Times;Serif"/>
          <w:b/>
          <w:i w:val="false"/>
          <w:caps w:val="false"/>
          <w:smallCaps w:val="false"/>
          <w:sz w:val="20"/>
        </w:rPr>
        <w:t>331-8800</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10205" w:type="dxa"/>
            <w:gridSpan w:val="2"/>
            <w:tcBorders/>
            <w:vAlign w:val="center"/>
          </w:tcPr>
          <w:p>
            <w:pPr>
              <w:pStyle w:val="TableContents"/>
              <w:bidi w:val="0"/>
              <w:spacing w:before="0" w:after="283"/>
              <w:jc w:val="left"/>
              <w:rPr/>
            </w:pPr>
            <w:r>
              <w:rPr/>
              <w:t>Check the appropriate box below if the Form 8-K filing is intended to simultaneously satisfy the filing obligation of the registrant under any of the following provisions (see General Instruction A.2. below):</w:t>
            </w:r>
          </w:p>
        </w:tc>
      </w:tr>
      <w:tr>
        <w:trPr/>
        <w:tc>
          <w:tcPr>
            <w:tcW w:w="333" w:type="dxa"/>
            <w:tcBorders/>
            <w:vAlign w:val="center"/>
          </w:tcPr>
          <w:p>
            <w:pPr>
              <w:pStyle w:val="TableContents"/>
              <w:bidi w:val="0"/>
              <w:spacing w:before="0" w:after="283"/>
              <w:jc w:val="left"/>
              <w:rPr/>
            </w:pPr>
            <w:bookmarkStart w:id="14" w:name="xdx_90A_edei--WrittenCommunications_c202"/>
            <w:bookmarkEnd w:id="14"/>
            <w:r>
              <w:rPr/>
              <w:t>☐</w:t>
            </w:r>
          </w:p>
        </w:tc>
        <w:tc>
          <w:tcPr>
            <w:tcW w:w="9872" w:type="dxa"/>
            <w:tcBorders/>
            <w:vAlign w:val="center"/>
          </w:tcPr>
          <w:p>
            <w:pPr>
              <w:pStyle w:val="TableContents"/>
              <w:bidi w:val="0"/>
              <w:spacing w:before="0" w:after="283"/>
              <w:jc w:val="left"/>
              <w:rPr/>
            </w:pPr>
            <w:r>
              <w:rPr/>
              <w:t>Written communications pursuant to Rule 425 under the Securities Act (17 CFR 230.425)</w:t>
            </w:r>
          </w:p>
        </w:tc>
      </w:tr>
      <w:tr>
        <w:trPr/>
        <w:tc>
          <w:tcPr>
            <w:tcW w:w="333" w:type="dxa"/>
            <w:tcBorders/>
            <w:vAlign w:val="center"/>
          </w:tcPr>
          <w:p>
            <w:pPr>
              <w:pStyle w:val="TableContents"/>
              <w:bidi w:val="0"/>
              <w:spacing w:before="0" w:after="283"/>
              <w:jc w:val="left"/>
              <w:rPr/>
            </w:pPr>
            <w:bookmarkStart w:id="15" w:name="xdx_902_edei--SolicitingMaterial_c202608"/>
            <w:bookmarkEnd w:id="15"/>
            <w:r>
              <w:rPr/>
              <w:t>☐</w:t>
            </w:r>
          </w:p>
        </w:tc>
        <w:tc>
          <w:tcPr>
            <w:tcW w:w="9872" w:type="dxa"/>
            <w:tcBorders/>
            <w:vAlign w:val="center"/>
          </w:tcPr>
          <w:p>
            <w:pPr>
              <w:pStyle w:val="TableContents"/>
              <w:bidi w:val="0"/>
              <w:spacing w:before="0" w:after="283"/>
              <w:jc w:val="left"/>
              <w:rPr/>
            </w:pPr>
            <w:r>
              <w:rPr/>
              <w:t>Soliciting material pursuant to Rule 14a-12 under the Exchange Act (17 CFR 240.14a-12)</w:t>
            </w:r>
          </w:p>
        </w:tc>
      </w:tr>
      <w:tr>
        <w:trPr/>
        <w:tc>
          <w:tcPr>
            <w:tcW w:w="333" w:type="dxa"/>
            <w:tcBorders/>
            <w:vAlign w:val="center"/>
          </w:tcPr>
          <w:p>
            <w:pPr>
              <w:pStyle w:val="TableContents"/>
              <w:bidi w:val="0"/>
              <w:spacing w:before="0" w:after="283"/>
              <w:jc w:val="left"/>
              <w:rPr/>
            </w:pPr>
            <w:bookmarkStart w:id="16" w:name="xdx_908_edei--PreCommencementTenderOffer"/>
            <w:bookmarkEnd w:id="16"/>
            <w:r>
              <w:rPr/>
              <w:t>☐</w:t>
            </w:r>
          </w:p>
        </w:tc>
        <w:tc>
          <w:tcPr>
            <w:tcW w:w="9872"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333" w:type="dxa"/>
            <w:tcBorders/>
            <w:vAlign w:val="center"/>
          </w:tcPr>
          <w:p>
            <w:pPr>
              <w:pStyle w:val="TableContents"/>
              <w:bidi w:val="0"/>
              <w:spacing w:before="0" w:after="283"/>
              <w:jc w:val="left"/>
              <w:rPr/>
            </w:pPr>
            <w:bookmarkStart w:id="17" w:name="xdx_90E_edei--PreCommencementIssuerTende"/>
            <w:bookmarkEnd w:id="17"/>
            <w:r>
              <w:rPr/>
              <w:t>☐</w:t>
            </w:r>
          </w:p>
        </w:tc>
        <w:tc>
          <w:tcPr>
            <w:tcW w:w="9872"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28" w:type="dxa"/>
          <w:right w:w="0" w:type="dxa"/>
        </w:tblCellMar>
      </w:tblPr>
      <w:tblGrid>
        <w:gridCol w:w="2750"/>
        <w:gridCol w:w="60"/>
        <w:gridCol w:w="1610"/>
        <w:gridCol w:w="60"/>
        <w:gridCol w:w="377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0_edei--Security12bTitle_c20260818"/>
            <w:bookmarkEnd w:id="18"/>
            <w:r>
              <w:rPr>
                <w:rFonts w:ascii="Times New Roman;Times;Serif" w:hAnsi="Times New Roman;Times;Serif"/>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818__2"/>
            <w:bookmarkEnd w:id="19"/>
            <w:r>
              <w:rPr>
                <w:rFonts w:ascii="Times New Roman;Times;Serif" w:hAnsi="Times New Roman;Times;Serif"/>
                <w:sz w:val="20"/>
              </w:rPr>
              <w:t>GSIT</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 xml:space="preserve">The 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GSI Technology Taiwan Inc., a wholly-owned subsidiary of GSI Technology, Inc. (the “Company”), entered into a Factory Lease Agreement (the “Lease Agreement”) with Tai Yuen Textile Co., Ltd. (the “Lessor”) extending the existing lease of the Company’s 25,250 square foot facility in Chu-Pei City, Taiwan (the “Premises”). The Company uses the Premises as the primary office and operations facility for its Taiwan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 provides for a lease term of three (3) years, commencing on September 1, 2026 and expiring on August 31, 2029. Monthly rent, inclusive of tax, under the Lease Agreement is NT$605,640 (approximately US$19,015).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 is an English translation of the original agreement, which was executed in Chinese.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Lease Agreement does not purport to be complete and is qualified in its entirety by reference to the full text of the Lease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5.07 Submission of Matters to a Vote of Security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its annual meeting of stockholders on August 20, 2026. At the annual meeting, the matters set forth below were submitted to a vote of the Company’s stockholders. The final tally of shares voted for, against or withheld, as well as the number of abstentions and broker non-votes, as to each such matter, where applicable, are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4" w:type="dxa"/>
            <w:tcBorders/>
            <w:vAlign w:val="center"/>
          </w:tcPr>
          <w:p>
            <w:pPr>
              <w:pStyle w:val="TableContents"/>
              <w:bidi w:val="0"/>
              <w:spacing w:before="0" w:after="283"/>
              <w:jc w:val="left"/>
              <w:rPr/>
            </w:pPr>
            <w:r>
              <w:rPr/>
              <w:t>The Company’s stockholders elected the following five persons to serve on the Company’s Board of Directors until the next annual meeting of stockholders and until their respective successors are duly elected and qualified, with the votes cast as follows:</w:t>
            </w:r>
          </w:p>
        </w:tc>
      </w:tr>
    </w:tbl>
    <w:p>
      <w:pPr>
        <w:pStyle w:val="TextBody"/>
        <w:bidi w:val="0"/>
        <w:spacing w:before="0" w:after="0"/>
        <w:jc w:val="left"/>
        <w:rPr>
          <w:caps w:val="false"/>
          <w:smallCaps w:val="false"/>
        </w:rPr>
      </w:pPr>
      <w:r>
        <w:rPr>
          <w:caps w:val="false"/>
          <w:smallCaps w:val="false"/>
        </w:rPr>
        <w:t> </w:t>
      </w:r>
    </w:p>
    <w:tbl>
      <w:tblPr>
        <w:tblW w:w="5539" w:type="dxa"/>
        <w:jc w:val="left"/>
        <w:tblInd w:w="0" w:type="dxa"/>
        <w:tblLayout w:type="fixed"/>
        <w:tblCellMar>
          <w:top w:w="0" w:type="dxa"/>
          <w:left w:w="0" w:type="dxa"/>
          <w:bottom w:w="28" w:type="dxa"/>
          <w:right w:w="0" w:type="dxa"/>
        </w:tblCellMar>
      </w:tblPr>
      <w:tblGrid>
        <w:gridCol w:w="1775"/>
        <w:gridCol w:w="60"/>
        <w:gridCol w:w="60"/>
        <w:gridCol w:w="950"/>
        <w:gridCol w:w="60"/>
        <w:gridCol w:w="60"/>
        <w:gridCol w:w="60"/>
        <w:gridCol w:w="845"/>
        <w:gridCol w:w="60"/>
        <w:gridCol w:w="60"/>
        <w:gridCol w:w="97"/>
        <w:gridCol w:w="1377"/>
        <w:gridCol w:w="75"/>
      </w:tblGrid>
      <w:tr>
        <w:trPr/>
        <w:tc>
          <w:tcPr>
            <w:tcW w:w="17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Elizabeth Cholawsky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15,450,100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753,629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77" w:type="dxa"/>
            <w:tcBorders/>
            <w:shd w:fill="CCEEFF" w:val="clear"/>
            <w:tcMar>
              <w:bottom w:w="0" w:type="dxa"/>
            </w:tcMar>
            <w:vAlign w:val="center"/>
          </w:tcPr>
          <w:p>
            <w:pPr>
              <w:pStyle w:val="TableContents"/>
              <w:bidi w:val="0"/>
              <w:spacing w:before="0" w:after="283"/>
              <w:jc w:val="right"/>
              <w:rPr>
                <w:sz w:val="20"/>
              </w:rPr>
            </w:pPr>
            <w:r>
              <w:rPr>
                <w:sz w:val="20"/>
              </w:rPr>
              <w:t>9,535,179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Haydn Hsieh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15,086,815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1,116,914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77" w:type="dxa"/>
            <w:tcBorders/>
            <w:shd w:fill="FFFFFF" w:val="clear"/>
            <w:tcMar>
              <w:bottom w:w="0" w:type="dxa"/>
            </w:tcMar>
            <w:vAlign w:val="center"/>
          </w:tcPr>
          <w:p>
            <w:pPr>
              <w:pStyle w:val="TableContents"/>
              <w:bidi w:val="0"/>
              <w:spacing w:before="0" w:after="283"/>
              <w:jc w:val="right"/>
              <w:rPr>
                <w:sz w:val="20"/>
              </w:rPr>
            </w:pPr>
            <w:r>
              <w:rPr>
                <w:sz w:val="20"/>
              </w:rPr>
              <w:t>9,535,179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Ruey L. Lu</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14,807,220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1,396,509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77" w:type="dxa"/>
            <w:tcBorders/>
            <w:shd w:fill="CCEEFF" w:val="clear"/>
            <w:tcMar>
              <w:bottom w:w="0" w:type="dxa"/>
            </w:tcMar>
            <w:vAlign w:val="center"/>
          </w:tcPr>
          <w:p>
            <w:pPr>
              <w:pStyle w:val="TableContents"/>
              <w:bidi w:val="0"/>
              <w:spacing w:before="0" w:after="283"/>
              <w:jc w:val="right"/>
              <w:rPr>
                <w:sz w:val="20"/>
              </w:rPr>
            </w:pPr>
            <w:r>
              <w:rPr>
                <w:sz w:val="20"/>
              </w:rPr>
              <w:t>9,535,179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75" w:type="dxa"/>
            <w:tcBorders/>
            <w:shd w:fill="FFFFFF" w:val="clear"/>
            <w:tcMar>
              <w:bottom w:w="0" w:type="dxa"/>
            </w:tcMar>
            <w:vAlign w:val="center"/>
          </w:tcPr>
          <w:p>
            <w:pPr>
              <w:pStyle w:val="TableContents"/>
              <w:bidi w:val="0"/>
              <w:spacing w:before="0" w:after="283"/>
              <w:jc w:val="left"/>
              <w:rPr>
                <w:sz w:val="20"/>
              </w:rPr>
            </w:pPr>
            <w:r>
              <w:rPr>
                <w:sz w:val="20"/>
              </w:rPr>
              <w:t>Lee-Lean Shu</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15,458,859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744,870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77" w:type="dxa"/>
            <w:tcBorders/>
            <w:shd w:fill="FFFFFF" w:val="clear"/>
            <w:tcMar>
              <w:bottom w:w="0" w:type="dxa"/>
            </w:tcMar>
            <w:vAlign w:val="center"/>
          </w:tcPr>
          <w:p>
            <w:pPr>
              <w:pStyle w:val="TableContents"/>
              <w:bidi w:val="0"/>
              <w:spacing w:before="0" w:after="283"/>
              <w:jc w:val="right"/>
              <w:rPr>
                <w:sz w:val="20"/>
              </w:rPr>
            </w:pPr>
            <w:r>
              <w:rPr>
                <w:sz w:val="20"/>
              </w:rPr>
              <w:t>9,535,179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75" w:type="dxa"/>
            <w:tcBorders/>
            <w:shd w:fill="CCEEFF" w:val="clear"/>
            <w:tcMar>
              <w:bottom w:w="0" w:type="dxa"/>
            </w:tcMar>
            <w:vAlign w:val="center"/>
          </w:tcPr>
          <w:p>
            <w:pPr>
              <w:pStyle w:val="TableContents"/>
              <w:bidi w:val="0"/>
              <w:spacing w:before="0" w:after="283"/>
              <w:jc w:val="left"/>
              <w:rPr>
                <w:sz w:val="20"/>
              </w:rPr>
            </w:pPr>
            <w:r>
              <w:rPr>
                <w:sz w:val="20"/>
              </w:rPr>
              <w:t>Ronald R. Steger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15,453,726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750,003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77" w:type="dxa"/>
            <w:tcBorders/>
            <w:shd w:fill="CCEEFF" w:val="clear"/>
            <w:tcMar>
              <w:bottom w:w="0" w:type="dxa"/>
            </w:tcMar>
            <w:vAlign w:val="center"/>
          </w:tcPr>
          <w:p>
            <w:pPr>
              <w:pStyle w:val="TableContents"/>
              <w:bidi w:val="0"/>
              <w:spacing w:before="0" w:after="283"/>
              <w:jc w:val="right"/>
              <w:rPr>
                <w:sz w:val="20"/>
              </w:rPr>
            </w:pPr>
            <w:r>
              <w:rPr>
                <w:sz w:val="20"/>
              </w:rPr>
              <w:t>9,535,179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2.</w:t>
            </w:r>
          </w:p>
        </w:tc>
        <w:tc>
          <w:tcPr>
            <w:tcW w:w="10000" w:type="dxa"/>
            <w:tcBorders/>
            <w:vAlign w:val="center"/>
          </w:tcPr>
          <w:p>
            <w:pPr>
              <w:pStyle w:val="TableContents"/>
              <w:bidi w:val="0"/>
              <w:spacing w:before="0" w:after="283"/>
              <w:jc w:val="left"/>
              <w:rPr/>
            </w:pPr>
            <w:r>
              <w:rPr/>
              <w:t>The Company’s stockholders ratified the appointment of BDO USA, P.C. as the Company’s independent registered public accounting firm for the fiscal year ending March 31, 2027, with the votes cast as follows:</w:t>
            </w:r>
          </w:p>
        </w:tc>
      </w:tr>
    </w:tbl>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565"/>
        <w:gridCol w:w="60"/>
        <w:gridCol w:w="60"/>
        <w:gridCol w:w="950"/>
        <w:gridCol w:w="75"/>
      </w:tblGrid>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For: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25,328,122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Against: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236,149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left"/>
              <w:rPr/>
            </w:pPr>
            <w:r>
              <w:rPr/>
              <w:t>The Company’s stockholders approved an advisory (non-binding) resolution regarding the fiscal 2026 compensation of the executive officers named in the Summary Compensation Table, as disclosed in the Company’s proxy statement for the annual meeting, with the votes cast as follows:</w:t>
            </w:r>
          </w:p>
        </w:tc>
      </w:tr>
    </w:tbl>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565"/>
        <w:gridCol w:w="60"/>
        <w:gridCol w:w="60"/>
        <w:gridCol w:w="950"/>
        <w:gridCol w:w="75"/>
      </w:tblGrid>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For: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15,296,402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Against: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868,466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9,535,179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980" w:type="dxa"/>
            <w:tcBorders/>
            <w:tcMar>
              <w:bottom w:w="0" w:type="dxa"/>
            </w:tcMar>
            <w:vAlign w:val="center"/>
          </w:tcPr>
          <w:p>
            <w:pPr>
              <w:pStyle w:val="TableContents"/>
              <w:bidi w:val="0"/>
              <w:spacing w:before="0" w:after="283"/>
              <w:jc w:val="center"/>
              <w:rPr/>
            </w:pPr>
            <w:hyperlink w:anchor="tm2623712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hyperlink w:anchor="tm2623712d1_ex10-1.htm">
              <w:r>
                <w:rPr>
                  <w:rStyle w:val="InternetLink"/>
                  <w:rFonts w:ascii="Times New Roman;Times;Serif" w:hAnsi="Times New Roman;Times;Serif"/>
                  <w:sz w:val="20"/>
                </w:rPr>
                <w:t>Factory Lease Agreement, dated August 18, 2026, by and between GSI Technology Taiwan Inc. and Tai Yuen Textile Co., Ltd. (English translation)</w:t>
              </w:r>
            </w:hyperlink>
          </w:p>
        </w:tc>
      </w:tr>
      <w:tr>
        <w:trPr/>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21, 2026</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290"/>
        <w:gridCol w:w="1985"/>
      </w:tblGrid>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GSI Technology, Inc.</w:t>
            </w:r>
          </w:p>
        </w:tc>
      </w:tr>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Douglas M. Schirle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M. Schirle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3712d1_ex10-1.htm"/>
      <w:bookmarkStart w:id="23" w:name="kstm2623712d1_ex101"/>
      <w:bookmarkEnd w:id="22"/>
      <w:bookmarkEnd w:id="23"/>
      <w:r>
        <w:rPr/>
        <w:t> </w:t>
      </w:r>
      <w:r>
        <w:br w:type="page"/>
      </w:r>
    </w:p>
    <w:p>
      <w:pPr>
        <w:pStyle w:val="TextBody"/>
        <w:bidi w:val="0"/>
        <w:jc w:val="right"/>
        <w:rPr>
          <w:b/>
          <w:sz w:val="20"/>
        </w:rPr>
      </w:pPr>
      <w:r>
        <w:rPr>
          <w:b/>
          <w:sz w:val="20"/>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 Yuan Hi-Tech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Factory 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established between</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GSI Technology Taiwan Inc (hereinafter referred to as Lessee)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Tai Yuen Textile Co., Ltd. (hereinafter referred to as Lessor)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reantal of properties in Tai Yuan Hi-Tech Industrial Park. Both parties to this agreement concur to comply with the conditions hereinbelow provided: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
        <w:gridCol w:w="9465"/>
      </w:tblGrid>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1</w:t>
            </w:r>
          </w:p>
        </w:tc>
        <w:tc>
          <w:tcPr>
            <w:tcW w:w="9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Rented House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shall rent the following house to Lessee:</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House Location: first house at 6F-1,and second house at 5F-2, No. 30, Tai-Yuan St., Chu-Pei Li, Chu-Pei City, Hsinchu County</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710.23 pings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Both parties agree to transfer the house as it is.</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2</w:t>
            </w:r>
          </w:p>
        </w:tc>
        <w:tc>
          <w:tcPr>
            <w:tcW w:w="9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Rents</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Monthly rent shall be NT$605,640 inclusive of tax.</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Rent shall be paid every month, but Lessee shall draw 12 checks at a time which totally cover one-year rents to Lessor. The date of issue for a check shall be the fisrt day of the lease period in every month stipulated in the lease agreement. Lessor shall issue an invoice to Lessee after a check for paying the monthly rent has cashed. The rents for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year shall be paid in the same way; the checks drawn shall be given to Lessor before the last check, for the last term of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year, cashes. If any of these checks drawn by Lessee can not be cashed on time, a penalty fine amounting to 1% of the monthly rent shall be calculated and paid every day.</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3</w:t>
            </w:r>
          </w:p>
        </w:tc>
        <w:tc>
          <w:tcPr>
            <w:tcW w:w="9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(Deposit)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shall be obliged to submit a guarantee (deposit) in the amount of NT$1,816,920 (equal to a 3-month rent, inclusive of tax) upon the execution of this agreement. If Lessee owes any rents or damanges, Lessor may deduct such rents or damanges from the guarantee (deposit) first. After expiration of the lease when Lessee fully vacates the said premises, Lessor shall return the guarantee (deposit) in full, without any interest payment due, after deducting any fees unpaid by Lessee.</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4</w:t>
            </w:r>
          </w:p>
        </w:tc>
        <w:tc>
          <w:tcPr>
            <w:tcW w:w="9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Period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period shall be for a period of 3 years only, effective from Sep. 1, 2026 to Aug. 31, 2029. If Lessor wants to rent the house continuously after expiration of the lease agreement, Lessee has the priority right to rent it first, but Lessee shall notify Lessor of such intension 3 months before the lease expiration, and the lease conditions in the next lease agreement shall be negotiated again.</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0"/>
        <w:gridCol w:w="9465"/>
      </w:tblGrid>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5</w:t>
            </w:r>
          </w:p>
        </w:tc>
        <w:tc>
          <w:tcPr>
            <w:tcW w:w="9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Rented Property</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Lessee shall neither sublet, loan nor transfer the rental of, nor institute any means that may submit a portion or the entirety of the house to the usage or facility of a third-person, without the prior consent of Lessor.</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Lessee shall abidy by laws and Tai Yuan Hi-Tech Industrial Park Regulations, and shall not use the house for any illegal purposes or for storage of dangerous materials that are hazardous to public safety.</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 interior decoration becomes necessary, Lessee shall be obliged to obtain the prior consent of Lessor before effecting such interior decoration; however, Lessee shall be obliged to ensure that such interior decorating shall not, in anyway, destroy the original construction of the house or violate any laws. Should any law be violated because of such decoration, Lessee shall restore to its original condition; otherwise Lessor may terminate the agreement. When Lessor terminates this agreement, Lessee shall take back all decorated articles and equipment and be obliged to restore the house into its original condition on the time the house is due for return to Lessor. Any damage to a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party shall be compensated by Lessee. If Lessor suffers loss consequently, Lessee shall compensate and be responsible for all expenses of Lessor.</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Lessee shall have public accident insurance (Insurance Amount: More than NT$20,000,000 for body injuries per incident; More than NT$2,000,000 for house loss per incident) and fire legal responsibility insurance. Should Lessee fail to obtain any of the above insurance and thus cause any loss to a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party or Lessor, Lessee shall be responsible for compensation of such loss.</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6</w:t>
            </w:r>
          </w:p>
        </w:tc>
        <w:tc>
          <w:tcPr>
            <w:tcW w:w="94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and Repair</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 any damage or destruction to the house that is ascribed to Lessee’s responsibility, Lessee shall be held liable for repair or damages.</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any damage or destruction to the house that is not ascribed to Lessee’s responsibility, Lessor shall be held liable for repair. If Lessor fails to repair within the period demanded by Lessee, Lessee may repair or have a repairperson repair, and repair expenses shall be paid by Lessor.</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7</w:t>
            </w:r>
          </w:p>
        </w:tc>
        <w:tc>
          <w:tcPr>
            <w:tcW w:w="9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 and Tax</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House tax and land tax shall be at the expense of Lessor, whereas, all utility bills, telecommunication expense, cleaning expense, waste cleaning expense, equipment rapair &amp; maintenance expense, management expense and other necessary expenses to be paid for using the house shall be at the expense of Lessee.</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Lessee shall pay the above-mentioned expenses on time regardless of whether Lessee uses the house during the lease period or not.</w:t>
            </w:r>
          </w:p>
        </w:tc>
      </w:tr>
      <w:tr>
        <w:trPr/>
        <w:tc>
          <w:tcPr>
            <w:tcW w:w="740" w:type="dxa"/>
            <w:tcBorders/>
            <w:vAlign w:val="center"/>
          </w:tcPr>
          <w:p>
            <w:pPr>
              <w:pStyle w:val="TableContents"/>
              <w:bidi w:val="0"/>
              <w:spacing w:before="0" w:after="283"/>
              <w:jc w:val="both"/>
              <w:rPr/>
            </w:pPr>
            <w:r>
              <w:rPr/>
              <w:t> </w:t>
            </w:r>
          </w:p>
        </w:tc>
        <w:tc>
          <w:tcPr>
            <w:tcW w:w="946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8</w:t>
            </w:r>
          </w:p>
        </w:tc>
        <w:tc>
          <w:tcPr>
            <w:tcW w:w="9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Breach of Contract &amp; Punishmnet </w:t>
            </w:r>
          </w:p>
        </w:tc>
      </w:tr>
      <w:tr>
        <w:trPr/>
        <w:tc>
          <w:tcPr>
            <w:tcW w:w="845"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Lessee violates the agreement while using the house and fails to correct or fails to completely correct within 7 days after Lessor’s notification, Lessor may terminate the lease agreement.</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either of the parties violates the agreement and thus damages the other party’s rights, the violating party shall compensate the other party for the loss and other relevant expenses.</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the expiration of the lease, except if Lessor consents to continue the lease of the house, Lessee shall be obliged to return the house to Lessor, in the spirit of goodwill, fully vacated and under the same conditions that it was leased. Lessee shall not issue any cause for denial nor present any protest to such a turnover. In the event that Lessee shall fail to return the house on time, then Lessor shall demand the payment of a breach of contract penalty amounting to one-time the amount of the agreed rent, for the period starting from the day following the expiration date until the last day that Lessee remains in occupation of the house.</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Should Lessee fail to make the rent payment for 2 months, Lessor may terminate the lease agreement.</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Lessee violates the agreement while using the house and fails to correct or fails to completely correct within 7 days after Lessor’s notification, Lessor may terminate the lease agreement. For any loss or damage, Lessor may ask for compensation.</w:t>
            </w:r>
          </w:p>
        </w:tc>
      </w:tr>
      <w:tr>
        <w:trPr/>
        <w:tc>
          <w:tcPr>
            <w:tcW w:w="845"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9</w:t>
            </w:r>
          </w:p>
        </w:tc>
        <w:tc>
          <w:tcPr>
            <w:tcW w:w="9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Termination</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one party decides to terminate this agreement before expiration of the lease, the terminating party shall obtain the written consent of the other party. If Lessee wants to move out of the house while lease agreement is still in effect, Lessee shall give a 3 months written notification to Lessor and pay the amount of a 3-month rent to Lessor as comensation. If Lessor wants to tack back the rented house earlier before expiration of the lease, Lessor shall also give Lessee a 3 months written notification and pay the amount equial to a 3-month rent to Lessee as comensation.</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Lessee shall be obliged to fully vacate and restore the house into its original condition on the time the house is due for return to Lessor. At the expiration of this agreement, any furniture, machin or item that Lessee has failed to take out of the house during the vacation of the house, shall be regarded as junk or abandoned item, the settlement of which shall be left to the discretion of Lessor. Any expenses incurring shall be paid by Lessee or deducted from the guarantee (deposit) first. Lessee shall make any causes to claim any rights or ask any expense from Lessor.</w:t>
            </w:r>
          </w:p>
        </w:tc>
      </w:tr>
      <w:tr>
        <w:trPr/>
        <w:tc>
          <w:tcPr>
            <w:tcW w:w="845"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10</w:t>
            </w:r>
          </w:p>
        </w:tc>
        <w:tc>
          <w:tcPr>
            <w:tcW w:w="9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Notarial Lease Agreement</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Lessor and Lessee shall deal with notarization of the lease agreement together, and the notarization fee shall be paid by both parties averagely.</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Should Lessee fail to pay rents or any penalty due to breach of contract, or refuse to vacate and move out of the house at the expiration of the lease agreement, such payment or moving out will be enforced according to the law. Should Lessor fail to return the guarantee (deposit) under the lease agreement, such return will be enforced according to the law.</w:t>
            </w:r>
          </w:p>
        </w:tc>
      </w:tr>
      <w:tr>
        <w:trPr/>
        <w:tc>
          <w:tcPr>
            <w:tcW w:w="845"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11</w:t>
            </w:r>
          </w:p>
        </w:tc>
        <w:tc>
          <w:tcPr>
            <w:tcW w:w="9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parties agree that for any lawsuit involving the lease agreement,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trial court shall be Hsinchu District Court.</w:t>
            </w:r>
          </w:p>
        </w:tc>
      </w:tr>
      <w:tr>
        <w:trPr/>
        <w:tc>
          <w:tcPr>
            <w:tcW w:w="845"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12</w:t>
            </w:r>
          </w:p>
        </w:tc>
        <w:tc>
          <w:tcPr>
            <w:tcW w:w="9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Condistions</w:t>
            </w:r>
          </w:p>
        </w:tc>
      </w:tr>
      <w:tr>
        <w:trPr/>
        <w:tc>
          <w:tcPr>
            <w:tcW w:w="845"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0"/>
              <w:ind w:left="372" w:right="0" w:hanging="3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After being given the house, Lessee shall pay the expenses stipulated in Article 7 of this lease agreement.</w:t>
            </w:r>
          </w:p>
          <w:p>
            <w:pPr>
              <w:pStyle w:val="TableContents"/>
              <w:bidi w:val="0"/>
              <w:spacing w:before="0" w:after="0"/>
              <w:ind w:left="372" w:right="0" w:hanging="3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lease agreement is made in quadruplicate. Ecah party shall keep on copy; each of the court and the office of notary public shall keep one copy.</w:t>
            </w:r>
          </w:p>
        </w:tc>
      </w:tr>
    </w:tbl>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920"/>
        <w:gridCol w:w="1805"/>
        <w:gridCol w:w="5705"/>
      </w:tblGrid>
      <w:tr>
        <w:trPr/>
        <w:tc>
          <w:tcPr>
            <w:tcW w:w="843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Signed by:</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Lessee</w:t>
            </w:r>
          </w:p>
        </w:tc>
        <w:tc>
          <w:tcPr>
            <w:tcW w:w="5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GSI Technology Taiwan ,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seal)</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Representative:</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Wu, Bor-Tay  (with seal)</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Uniform No.:</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53292218</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6F-1, No. 30, Tai-Yuan St., Chu-Pei Li, Chu-Pei City, Hsinchu County</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(03) 5525345</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pPr>
            <w:r>
              <w:rPr/>
              <w:t> </w:t>
            </w:r>
          </w:p>
        </w:tc>
        <w:tc>
          <w:tcPr>
            <w:tcW w:w="5705" w:type="dxa"/>
            <w:tcBorders/>
            <w:vAlign w:val="center"/>
          </w:tcPr>
          <w:p>
            <w:pPr>
              <w:pStyle w:val="TableContents"/>
              <w:bidi w:val="0"/>
              <w:spacing w:before="0" w:after="283"/>
              <w:jc w:val="both"/>
              <w:rPr/>
            </w:pPr>
            <w:r>
              <w:rPr/>
              <w:t> </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Lessor </w:t>
            </w:r>
          </w:p>
        </w:tc>
        <w:tc>
          <w:tcPr>
            <w:tcW w:w="57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 Yuen Textile Co., Ltd.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seal)</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Representative:</w:t>
            </w:r>
          </w:p>
        </w:tc>
        <w:tc>
          <w:tcPr>
            <w:tcW w:w="5705" w:type="dxa"/>
            <w:tcBorders/>
            <w:vAlign w:val="center"/>
          </w:tcPr>
          <w:p>
            <w:pPr>
              <w:pStyle w:val="TableContents"/>
              <w:bidi w:val="0"/>
              <w:spacing w:before="0" w:after="283"/>
              <w:jc w:val="both"/>
              <w:rPr/>
            </w:pPr>
            <w:r>
              <w:rPr>
                <w:rFonts w:ascii="Times New Roman;Times;Serif" w:hAnsi="Times New Roman;Times;Serif"/>
                <w:sz w:val="20"/>
                <w:shd w:fill="F8F9FA" w:val="clear"/>
              </w:rPr>
              <w:t>Hu, Kuang-Hua  </w:t>
            </w:r>
            <w:r>
              <w:rPr/>
              <w:t> </w:t>
            </w:r>
            <w:r>
              <w:rPr>
                <w:rFonts w:ascii="Times New Roman;Times;Serif" w:hAnsi="Times New Roman;Times;Serif"/>
                <w:sz w:val="20"/>
              </w:rPr>
              <w:t>(with seal)</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Uniform No.:</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03516001</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8F, No. 2, Dun Hua S. Rd., Sec. 2,  Taipei City</w:t>
            </w:r>
          </w:p>
        </w:tc>
      </w:tr>
      <w:tr>
        <w:trPr/>
        <w:tc>
          <w:tcPr>
            <w:tcW w:w="920" w:type="dxa"/>
            <w:tcBorders/>
            <w:vAlign w:val="center"/>
          </w:tcPr>
          <w:p>
            <w:pPr>
              <w:pStyle w:val="TableContents"/>
              <w:bidi w:val="0"/>
              <w:spacing w:before="0" w:after="283"/>
              <w:jc w:val="both"/>
              <w:rPr/>
            </w:pPr>
            <w:r>
              <w:rPr/>
              <w:t> </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(02) 2755-2222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2334</Words>
  <Characters>11959</Characters>
  <CharactersWithSpaces>14408</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